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D31" w:rsidRDefault="00A71B87">
      <w:pPr>
        <w:rPr>
          <w:rFonts w:ascii="Teen" w:hAnsi="Teen"/>
          <w:sz w:val="24"/>
          <w:szCs w:val="24"/>
        </w:rPr>
      </w:pPr>
      <w:r>
        <w:rPr>
          <w:rFonts w:ascii="Teen" w:hAnsi="Teen"/>
          <w:sz w:val="24"/>
          <w:szCs w:val="24"/>
        </w:rPr>
        <w:t xml:space="preserve">                </w:t>
      </w:r>
    </w:p>
    <w:tbl>
      <w:tblPr>
        <w:tblW w:w="151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424"/>
        <w:gridCol w:w="5953"/>
      </w:tblGrid>
      <w:tr w:rsidR="00D53D31" w:rsidTr="00D53D31">
        <w:trPr>
          <w:jc w:val="center"/>
        </w:trPr>
        <w:tc>
          <w:tcPr>
            <w:tcW w:w="2805" w:type="dxa"/>
            <w:tcMar>
              <w:top w:w="100" w:type="dxa"/>
              <w:left w:w="100" w:type="dxa"/>
              <w:bottom w:w="100" w:type="dxa"/>
              <w:right w:w="100" w:type="dxa"/>
            </w:tcMar>
          </w:tcPr>
          <w:p w:rsidR="00D53D31" w:rsidRDefault="00D53D31" w:rsidP="005F0045">
            <w:pPr>
              <w:widowControl w:val="0"/>
              <w:jc w:val="center"/>
            </w:pPr>
          </w:p>
        </w:tc>
        <w:tc>
          <w:tcPr>
            <w:tcW w:w="6424" w:type="dxa"/>
            <w:tcMar>
              <w:top w:w="100" w:type="dxa"/>
              <w:left w:w="100" w:type="dxa"/>
              <w:bottom w:w="100" w:type="dxa"/>
              <w:right w:w="100" w:type="dxa"/>
            </w:tcMar>
          </w:tcPr>
          <w:p w:rsidR="00D53D31" w:rsidRDefault="00D53D31" w:rsidP="005F0045">
            <w:pPr>
              <w:widowControl w:val="0"/>
              <w:jc w:val="center"/>
            </w:pPr>
            <w:r>
              <w:rPr>
                <w:b/>
                <w:sz w:val="28"/>
                <w:szCs w:val="28"/>
              </w:rPr>
              <w:t>BENJAMINAK LH3-4</w:t>
            </w:r>
          </w:p>
        </w:tc>
        <w:tc>
          <w:tcPr>
            <w:tcW w:w="5953" w:type="dxa"/>
            <w:tcMar>
              <w:top w:w="100" w:type="dxa"/>
              <w:left w:w="100" w:type="dxa"/>
              <w:bottom w:w="100" w:type="dxa"/>
              <w:right w:w="100" w:type="dxa"/>
            </w:tcMar>
          </w:tcPr>
          <w:p w:rsidR="00D53D31" w:rsidRDefault="00D53D31" w:rsidP="005F0045">
            <w:pPr>
              <w:widowControl w:val="0"/>
              <w:jc w:val="center"/>
            </w:pPr>
            <w:r>
              <w:rPr>
                <w:b/>
                <w:sz w:val="28"/>
                <w:szCs w:val="28"/>
              </w:rPr>
              <w:t>ALEBINAK LH5-6</w:t>
            </w:r>
          </w:p>
        </w:tc>
      </w:tr>
      <w:tr w:rsidR="00D53D31" w:rsidTr="00D53D31">
        <w:trPr>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JOKALARI KOPURUA</w:t>
            </w:r>
          </w:p>
        </w:tc>
        <w:tc>
          <w:tcPr>
            <w:tcW w:w="6424" w:type="dxa"/>
            <w:tcMar>
              <w:top w:w="100" w:type="dxa"/>
              <w:left w:w="100" w:type="dxa"/>
              <w:bottom w:w="100" w:type="dxa"/>
              <w:right w:w="100" w:type="dxa"/>
            </w:tcMar>
          </w:tcPr>
          <w:p w:rsidR="00D53D31" w:rsidRDefault="00D53D31" w:rsidP="005F0045">
            <w:pPr>
              <w:widowControl w:val="0"/>
              <w:jc w:val="center"/>
            </w:pPr>
            <w:r>
              <w:t>4 + atezaina</w:t>
            </w:r>
          </w:p>
        </w:tc>
        <w:tc>
          <w:tcPr>
            <w:tcW w:w="5953" w:type="dxa"/>
            <w:tcMar>
              <w:top w:w="100" w:type="dxa"/>
              <w:left w:w="100" w:type="dxa"/>
              <w:bottom w:w="100" w:type="dxa"/>
              <w:right w:w="100" w:type="dxa"/>
            </w:tcMar>
          </w:tcPr>
          <w:p w:rsidR="00D53D31" w:rsidRDefault="00D53D31" w:rsidP="005F0045">
            <w:pPr>
              <w:widowControl w:val="0"/>
              <w:jc w:val="center"/>
            </w:pPr>
            <w:r>
              <w:t>5 + atezaina</w:t>
            </w:r>
          </w:p>
        </w:tc>
      </w:tr>
      <w:tr w:rsidR="00D53D31" w:rsidTr="00D53D31">
        <w:trPr>
          <w:trHeight w:val="560"/>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ALDAKETAK</w:t>
            </w:r>
          </w:p>
        </w:tc>
        <w:tc>
          <w:tcPr>
            <w:tcW w:w="12377" w:type="dxa"/>
            <w:gridSpan w:val="2"/>
            <w:tcMar>
              <w:top w:w="100" w:type="dxa"/>
              <w:left w:w="100" w:type="dxa"/>
              <w:bottom w:w="100" w:type="dxa"/>
              <w:right w:w="100" w:type="dxa"/>
            </w:tcMar>
          </w:tcPr>
          <w:p w:rsidR="00D53D31" w:rsidRDefault="00D53D31" w:rsidP="005F0045">
            <w:pPr>
              <w:widowControl w:val="0"/>
              <w:jc w:val="center"/>
            </w:pPr>
            <w:r>
              <w:t xml:space="preserve">Aldaketak atsedenaldietan bakarrik egingo dira, jokalariren batek min hartuz gero izan ezik. Kasu hauetan, gutxien jokatu duen jokalaria sartuko da, baina ez da aktan apuntatuko. </w:t>
            </w:r>
          </w:p>
        </w:tc>
      </w:tr>
      <w:tr w:rsidR="00D53D31" w:rsidTr="00D53D31">
        <w:trPr>
          <w:trHeight w:val="484"/>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JOKA DAITEZKEEN ZATI KOPURUAK</w:t>
            </w:r>
          </w:p>
        </w:tc>
        <w:tc>
          <w:tcPr>
            <w:tcW w:w="12377" w:type="dxa"/>
            <w:gridSpan w:val="2"/>
            <w:tcMar>
              <w:top w:w="100" w:type="dxa"/>
              <w:left w:w="100" w:type="dxa"/>
              <w:bottom w:w="100" w:type="dxa"/>
              <w:right w:w="100" w:type="dxa"/>
            </w:tcMar>
          </w:tcPr>
          <w:p w:rsidR="00D53D31" w:rsidRDefault="00D53D31" w:rsidP="005F0045">
            <w:pPr>
              <w:widowControl w:val="0"/>
              <w:jc w:val="center"/>
            </w:pPr>
            <w:r>
              <w:t xml:space="preserve">Gehien eta gutxien jokatu duten jokalarien artean, gehienez zati baten aldea egon daiteke, (luzapenak barne). </w:t>
            </w:r>
            <w:r>
              <w:rPr>
                <w:i/>
              </w:rPr>
              <w:t xml:space="preserve">Adibidez, taldekideren batek 4 zatiak jokatu baldin baditu, beste guztiek 3 zati jokatu behar dituzte. </w:t>
            </w:r>
          </w:p>
        </w:tc>
      </w:tr>
      <w:tr w:rsidR="00D53D31" w:rsidTr="00D53D31">
        <w:trPr>
          <w:trHeight w:val="440"/>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ATEZAINAK</w:t>
            </w:r>
          </w:p>
        </w:tc>
        <w:tc>
          <w:tcPr>
            <w:tcW w:w="12377" w:type="dxa"/>
            <w:gridSpan w:val="2"/>
            <w:tcMar>
              <w:top w:w="100" w:type="dxa"/>
              <w:left w:w="100" w:type="dxa"/>
              <w:bottom w:w="100" w:type="dxa"/>
              <w:right w:w="100" w:type="dxa"/>
            </w:tcMar>
          </w:tcPr>
          <w:p w:rsidR="00D53D31" w:rsidRDefault="00D53D31" w:rsidP="005F0045">
            <w:pPr>
              <w:widowControl w:val="0"/>
              <w:jc w:val="center"/>
            </w:pPr>
            <w:r>
              <w:t>Gehienez 2 zati joka ditzake atezain gisa.</w:t>
            </w:r>
            <w:r>
              <w:rPr>
                <w:i/>
              </w:rPr>
              <w:t xml:space="preserve"> (4 zatiak joka ditzake, baina 2 atezain eta 2 jokalari moduan izan behar du, eta gogoratu kasu honetan, beste taldekide guztiek 3 zati jokatu beharko dituztela).</w:t>
            </w:r>
          </w:p>
        </w:tc>
      </w:tr>
      <w:tr w:rsidR="00D53D31" w:rsidTr="00D53D31">
        <w:trPr>
          <w:trHeight w:val="366"/>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IRAUPENA</w:t>
            </w:r>
          </w:p>
        </w:tc>
        <w:tc>
          <w:tcPr>
            <w:tcW w:w="12377" w:type="dxa"/>
            <w:gridSpan w:val="2"/>
            <w:tcMar>
              <w:top w:w="100" w:type="dxa"/>
              <w:left w:w="100" w:type="dxa"/>
              <w:bottom w:w="100" w:type="dxa"/>
              <w:right w:w="100" w:type="dxa"/>
            </w:tcMar>
          </w:tcPr>
          <w:p w:rsidR="00D53D31" w:rsidRDefault="00D53D31" w:rsidP="005F0045">
            <w:pPr>
              <w:widowControl w:val="0"/>
              <w:jc w:val="center"/>
            </w:pPr>
            <w:r>
              <w:t>10 minutuko 4 zati. (4 x 10)</w:t>
            </w:r>
          </w:p>
        </w:tc>
      </w:tr>
      <w:tr w:rsidR="00D53D31" w:rsidTr="00D53D31">
        <w:trPr>
          <w:trHeight w:val="287"/>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ATSEDENALDIAK</w:t>
            </w:r>
          </w:p>
        </w:tc>
        <w:tc>
          <w:tcPr>
            <w:tcW w:w="12377" w:type="dxa"/>
            <w:gridSpan w:val="2"/>
            <w:tcMar>
              <w:top w:w="100" w:type="dxa"/>
              <w:left w:w="100" w:type="dxa"/>
              <w:bottom w:w="100" w:type="dxa"/>
              <w:right w:w="100" w:type="dxa"/>
            </w:tcMar>
          </w:tcPr>
          <w:p w:rsidR="00D53D31" w:rsidRDefault="00D53D31" w:rsidP="005F0045">
            <w:pPr>
              <w:widowControl w:val="0"/>
              <w:jc w:val="center"/>
            </w:pPr>
            <w:bookmarkStart w:id="0" w:name="_GoBack"/>
            <w:bookmarkEnd w:id="0"/>
            <w:r>
              <w:t>3 minutukoak</w:t>
            </w:r>
          </w:p>
        </w:tc>
      </w:tr>
      <w:tr w:rsidR="00D53D31" w:rsidTr="00D53D31">
        <w:trPr>
          <w:trHeight w:val="440"/>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PARTIDUKO AZKEN EMAITZA</w:t>
            </w:r>
          </w:p>
        </w:tc>
        <w:tc>
          <w:tcPr>
            <w:tcW w:w="6424" w:type="dxa"/>
            <w:tcMar>
              <w:top w:w="100" w:type="dxa"/>
              <w:left w:w="100" w:type="dxa"/>
              <w:bottom w:w="100" w:type="dxa"/>
              <w:right w:w="100" w:type="dxa"/>
            </w:tcMar>
          </w:tcPr>
          <w:p w:rsidR="00D53D31" w:rsidRDefault="00D53D31" w:rsidP="005F0045">
            <w:pPr>
              <w:widowControl w:val="0"/>
              <w:jc w:val="center"/>
            </w:pPr>
            <w:r>
              <w:t xml:space="preserve">Lehen bi zatietan gol gehien sartu dituen taldeari puntu bat emango zaio edo berdinketa egon bada, ez da punturik emango. Azken bi zatietan gol gehien sartu dituen taldeari puntu bat emango zaio edo berdinketa egon bada, ez da punturik emango. Beraz azken emaitza posibleak, honako hauek izango dira: </w:t>
            </w:r>
          </w:p>
          <w:p w:rsidR="00D53D31" w:rsidRDefault="00D53D31" w:rsidP="005F0045">
            <w:pPr>
              <w:widowControl w:val="0"/>
              <w:jc w:val="center"/>
            </w:pPr>
            <w:r>
              <w:t>0-0 / 1-0 / 0-1 / 1-1 / 2-0 / 0-2</w:t>
            </w:r>
          </w:p>
        </w:tc>
        <w:tc>
          <w:tcPr>
            <w:tcW w:w="5953" w:type="dxa"/>
            <w:tcMar>
              <w:top w:w="100" w:type="dxa"/>
              <w:left w:w="100" w:type="dxa"/>
              <w:bottom w:w="100" w:type="dxa"/>
              <w:right w:w="100" w:type="dxa"/>
            </w:tcMar>
          </w:tcPr>
          <w:p w:rsidR="00D53D31" w:rsidRDefault="00D53D31" w:rsidP="005F0045">
            <w:pPr>
              <w:widowControl w:val="0"/>
              <w:jc w:val="center"/>
            </w:pPr>
            <w:r>
              <w:t xml:space="preserve">Partidu amaierako golen arabera. </w:t>
            </w:r>
          </w:p>
        </w:tc>
      </w:tr>
      <w:tr w:rsidR="00D53D31" w:rsidTr="00D53D31">
        <w:trPr>
          <w:trHeight w:val="800"/>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DEFENTSA</w:t>
            </w:r>
          </w:p>
        </w:tc>
        <w:tc>
          <w:tcPr>
            <w:tcW w:w="6424" w:type="dxa"/>
            <w:tcMar>
              <w:top w:w="100" w:type="dxa"/>
              <w:left w:w="100" w:type="dxa"/>
              <w:bottom w:w="100" w:type="dxa"/>
              <w:right w:w="100" w:type="dxa"/>
            </w:tcMar>
          </w:tcPr>
          <w:p w:rsidR="00D53D31" w:rsidRDefault="00D53D31" w:rsidP="005F0045">
            <w:pPr>
              <w:widowControl w:val="0"/>
              <w:jc w:val="center"/>
            </w:pPr>
            <w:r>
              <w:t>Onartutako defentsak irekiak (2:2) eta banakakoak izango dira.</w:t>
            </w:r>
          </w:p>
          <w:p w:rsidR="00D53D31" w:rsidRDefault="00D53D31" w:rsidP="005F0045">
            <w:pPr>
              <w:widowControl w:val="0"/>
              <w:jc w:val="center"/>
            </w:pPr>
            <w:r>
              <w:t xml:space="preserve">Ezin da defentsa misto eta itxirik (4:0 / 3:1) egin. </w:t>
            </w:r>
          </w:p>
          <w:p w:rsidR="00D53D31" w:rsidRDefault="00D53D31" w:rsidP="005F0045">
            <w:pPr>
              <w:widowControl w:val="0"/>
              <w:jc w:val="center"/>
            </w:pPr>
            <w:r>
              <w:t>Defentsa norberaren zelaian bakarrik onartuko da eta BULTZATZEA debekatua dago.</w:t>
            </w:r>
          </w:p>
        </w:tc>
        <w:tc>
          <w:tcPr>
            <w:tcW w:w="5953" w:type="dxa"/>
            <w:tcMar>
              <w:top w:w="100" w:type="dxa"/>
              <w:left w:w="100" w:type="dxa"/>
              <w:bottom w:w="100" w:type="dxa"/>
              <w:right w:w="100" w:type="dxa"/>
            </w:tcMar>
          </w:tcPr>
          <w:p w:rsidR="00D53D31" w:rsidRDefault="00D53D31" w:rsidP="005F0045">
            <w:pPr>
              <w:widowControl w:val="0"/>
              <w:jc w:val="center"/>
            </w:pPr>
            <w:r>
              <w:t>Onartutako defentsak irekiak (3:2 / 2:3) eta banakakoak izango dira.</w:t>
            </w:r>
          </w:p>
          <w:p w:rsidR="00D53D31" w:rsidRDefault="00D53D31" w:rsidP="005F0045">
            <w:pPr>
              <w:widowControl w:val="0"/>
              <w:jc w:val="center"/>
            </w:pPr>
            <w:r>
              <w:t xml:space="preserve">Ezin da defentsa misto eta itxirik (5:0 / 4:1) egin. </w:t>
            </w:r>
          </w:p>
          <w:p w:rsidR="00D53D31" w:rsidRDefault="00D53D31" w:rsidP="005F0045">
            <w:pPr>
              <w:widowControl w:val="0"/>
              <w:jc w:val="center"/>
            </w:pPr>
            <w:r>
              <w:t>Defentsa norberaren zelaian bakarrik onartuko da eta BULTZATZEA debekatua dago.</w:t>
            </w:r>
          </w:p>
        </w:tc>
      </w:tr>
      <w:tr w:rsidR="00D53D31" w:rsidTr="00D53D31">
        <w:trPr>
          <w:trHeight w:val="440"/>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ZIGORRAK</w:t>
            </w:r>
          </w:p>
        </w:tc>
        <w:tc>
          <w:tcPr>
            <w:tcW w:w="12377" w:type="dxa"/>
            <w:gridSpan w:val="2"/>
            <w:tcMar>
              <w:top w:w="100" w:type="dxa"/>
              <w:left w:w="100" w:type="dxa"/>
              <w:bottom w:w="100" w:type="dxa"/>
              <w:right w:w="100" w:type="dxa"/>
            </w:tcMar>
          </w:tcPr>
          <w:p w:rsidR="00D53D31" w:rsidRDefault="00D53D31" w:rsidP="005F0045">
            <w:pPr>
              <w:widowControl w:val="0"/>
              <w:jc w:val="center"/>
            </w:pPr>
            <w:r>
              <w:t xml:space="preserve">Epaileak hala baderitzo, minutu bateko kanporaketa agindu dezake. Adibidez BULTZATZEN bada. </w:t>
            </w:r>
          </w:p>
          <w:p w:rsidR="00D53D31" w:rsidRDefault="00D53D31" w:rsidP="005F0045">
            <w:pPr>
              <w:widowControl w:val="0"/>
              <w:jc w:val="center"/>
            </w:pPr>
            <w:r>
              <w:t xml:space="preserve">Defentsa itxia egiten duten taldeari,aurrenekoan abisua emango dio epaileak, bigarren abisuan, penaltia ahalbidetuko zaio aurkako taldeari eta baloi jabetza. </w:t>
            </w:r>
          </w:p>
        </w:tc>
      </w:tr>
      <w:tr w:rsidR="00D53D31" w:rsidTr="00D53D31">
        <w:trPr>
          <w:trHeight w:val="158"/>
          <w:jc w:val="center"/>
        </w:trPr>
        <w:tc>
          <w:tcPr>
            <w:tcW w:w="2805" w:type="dxa"/>
            <w:tcMar>
              <w:top w:w="100" w:type="dxa"/>
              <w:left w:w="100" w:type="dxa"/>
              <w:bottom w:w="100" w:type="dxa"/>
              <w:right w:w="100" w:type="dxa"/>
            </w:tcMar>
          </w:tcPr>
          <w:p w:rsidR="00D53D31" w:rsidRPr="00D53D31" w:rsidRDefault="00D53D31" w:rsidP="005F0045">
            <w:pPr>
              <w:widowControl w:val="0"/>
              <w:jc w:val="center"/>
              <w:rPr>
                <w:sz w:val="24"/>
                <w:szCs w:val="24"/>
              </w:rPr>
            </w:pPr>
            <w:r w:rsidRPr="00D53D31">
              <w:rPr>
                <w:b/>
                <w:sz w:val="24"/>
                <w:szCs w:val="24"/>
              </w:rPr>
              <w:t>TXAPELKETA MODUA</w:t>
            </w:r>
          </w:p>
        </w:tc>
        <w:tc>
          <w:tcPr>
            <w:tcW w:w="6424" w:type="dxa"/>
            <w:tcMar>
              <w:top w:w="100" w:type="dxa"/>
              <w:left w:w="100" w:type="dxa"/>
              <w:bottom w:w="100" w:type="dxa"/>
              <w:right w:w="100" w:type="dxa"/>
            </w:tcMar>
          </w:tcPr>
          <w:p w:rsidR="00D53D31" w:rsidRDefault="00D53D31" w:rsidP="005F0045">
            <w:pPr>
              <w:widowControl w:val="0"/>
              <w:jc w:val="center"/>
            </w:pPr>
            <w:r>
              <w:t>Ez dago txapelketarik</w:t>
            </w:r>
          </w:p>
        </w:tc>
        <w:tc>
          <w:tcPr>
            <w:tcW w:w="5953" w:type="dxa"/>
            <w:tcMar>
              <w:top w:w="100" w:type="dxa"/>
              <w:left w:w="100" w:type="dxa"/>
              <w:bottom w:w="100" w:type="dxa"/>
              <w:right w:w="100" w:type="dxa"/>
            </w:tcMar>
          </w:tcPr>
          <w:p w:rsidR="00D53D31" w:rsidRDefault="00D53D31" w:rsidP="005F0045">
            <w:pPr>
              <w:widowControl w:val="0"/>
              <w:jc w:val="center"/>
            </w:pPr>
            <w:r>
              <w:t xml:space="preserve">Txapelketako irabazlea, liga modura erabakiko da. </w:t>
            </w:r>
          </w:p>
        </w:tc>
      </w:tr>
    </w:tbl>
    <w:p w:rsidR="0016162E" w:rsidRDefault="00A71B87">
      <w:pPr>
        <w:rPr>
          <w:rFonts w:ascii="Teen" w:hAnsi="Teen"/>
          <w:sz w:val="24"/>
          <w:szCs w:val="24"/>
        </w:rPr>
      </w:pPr>
      <w:r>
        <w:rPr>
          <w:rFonts w:ascii="Teen" w:hAnsi="Teen"/>
          <w:sz w:val="24"/>
          <w:szCs w:val="24"/>
        </w:rPr>
        <w:t xml:space="preserve">                      </w:t>
      </w:r>
    </w:p>
    <w:sectPr w:rsidR="0016162E" w:rsidSect="00D53D31">
      <w:headerReference w:type="default" r:id="rId8"/>
      <w:footerReference w:type="default" r:id="rId9"/>
      <w:pgSz w:w="16837" w:h="11905" w:orient="landscape"/>
      <w:pgMar w:top="1276" w:right="1418" w:bottom="1418" w:left="1418" w:header="142" w:footer="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93" w:rsidRDefault="00F93493">
      <w:r>
        <w:separator/>
      </w:r>
    </w:p>
  </w:endnote>
  <w:endnote w:type="continuationSeparator" w:id="0">
    <w:p w:rsidR="00F93493" w:rsidRDefault="00F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en">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2E" w:rsidRDefault="00D53D31">
    <w:pPr>
      <w:pStyle w:val="Piedepgina"/>
    </w:pPr>
    <w:r>
      <w:rPr>
        <w:noProof/>
        <w:lang w:val="es-ES" w:eastAsia="es-ES"/>
      </w:rPr>
      <w:drawing>
        <wp:anchor distT="0" distB="0" distL="0" distR="0" simplePos="0" relativeHeight="251658240" behindDoc="0" locked="0" layoutInCell="1" allowOverlap="1" wp14:anchorId="69106493" wp14:editId="34EF57C9">
          <wp:simplePos x="0" y="0"/>
          <wp:positionH relativeFrom="column">
            <wp:posOffset>279400</wp:posOffset>
          </wp:positionH>
          <wp:positionV relativeFrom="paragraph">
            <wp:posOffset>42545</wp:posOffset>
          </wp:positionV>
          <wp:extent cx="366395" cy="3308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66395" cy="330835"/>
                  </a:xfrm>
                  <a:prstGeom prst="rect">
                    <a:avLst/>
                  </a:prstGeom>
                  <a:solidFill>
                    <a:srgbClr val="FFFFFF"/>
                  </a:solidFill>
                  <a:ln w="9525">
                    <a:noFill/>
                    <a:miter lim="800000"/>
                    <a:headEnd/>
                    <a:tailEnd/>
                  </a:ln>
                </pic:spPr>
              </pic:pic>
            </a:graphicData>
          </a:graphic>
        </wp:anchor>
      </w:drawing>
    </w:r>
    <w:r>
      <w:pict>
        <v:line id="_x0000_s1025" style="position:absolute;flip:y;z-index:-251657216;mso-position-horizontal-relative:text;mso-position-vertical-relative:text" from="84.1pt,4.05pt" to="586.15pt,5.3pt" strokecolor="maroon" strokeweight=".35mm">
          <v:stroke color2="#7fffff" joinstyle="miter"/>
        </v:line>
      </w:pict>
    </w:r>
    <w:r>
      <w:rPr>
        <w:noProof/>
        <w:lang w:val="es-ES" w:eastAsia="es-ES"/>
      </w:rPr>
      <w:drawing>
        <wp:anchor distT="0" distB="0" distL="114935" distR="114935" simplePos="0" relativeHeight="251656192" behindDoc="1" locked="0" layoutInCell="1" allowOverlap="1" wp14:anchorId="5D078193" wp14:editId="0402D027">
          <wp:simplePos x="0" y="0"/>
          <wp:positionH relativeFrom="column">
            <wp:posOffset>8386445</wp:posOffset>
          </wp:positionH>
          <wp:positionV relativeFrom="paragraph">
            <wp:posOffset>43180</wp:posOffset>
          </wp:positionV>
          <wp:extent cx="781050" cy="4438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81050" cy="44386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71B87">
      <w:t xml:space="preserve">                                             </w:t>
    </w:r>
  </w:p>
  <w:p w:rsidR="0016162E" w:rsidRDefault="00A71B87" w:rsidP="00D53D31">
    <w:pPr>
      <w:pStyle w:val="Piedepgina"/>
      <w:jc w:val="center"/>
      <w:rPr>
        <w:rFonts w:ascii="Garamond" w:hAnsi="Garamond"/>
        <w:b/>
        <w:sz w:val="18"/>
      </w:rPr>
    </w:pPr>
    <w:proofErr w:type="spellStart"/>
    <w:r>
      <w:rPr>
        <w:rFonts w:ascii="Garamond" w:hAnsi="Garamond"/>
        <w:b/>
        <w:sz w:val="18"/>
      </w:rPr>
      <w:t>Antoniano</w:t>
    </w:r>
    <w:proofErr w:type="spellEnd"/>
    <w:r>
      <w:rPr>
        <w:rFonts w:ascii="Garamond" w:hAnsi="Garamond"/>
        <w:b/>
        <w:sz w:val="18"/>
      </w:rPr>
      <w:t xml:space="preserve"> Ikastetxea – Jose Domingo </w:t>
    </w:r>
    <w:proofErr w:type="spellStart"/>
    <w:r>
      <w:rPr>
        <w:rFonts w:ascii="Garamond" w:hAnsi="Garamond"/>
        <w:b/>
        <w:sz w:val="18"/>
      </w:rPr>
      <w:t>Epelde</w:t>
    </w:r>
    <w:proofErr w:type="spellEnd"/>
    <w:r>
      <w:rPr>
        <w:rFonts w:ascii="Garamond" w:hAnsi="Garamond"/>
        <w:b/>
        <w:sz w:val="18"/>
      </w:rPr>
      <w:t xml:space="preserve"> Fundazioa - Gipuzkoa kalea, 3 – 20.800 ZARAUTZ</w:t>
    </w:r>
  </w:p>
  <w:p w:rsidR="0016162E" w:rsidRDefault="00A71B87" w:rsidP="00D53D31">
    <w:pPr>
      <w:pStyle w:val="Piedepgina"/>
      <w:jc w:val="center"/>
      <w:rPr>
        <w:rFonts w:ascii="Garamond" w:hAnsi="Garamond"/>
        <w:b/>
        <w:sz w:val="18"/>
        <w:szCs w:val="18"/>
      </w:rPr>
    </w:pPr>
    <w:r>
      <w:rPr>
        <w:rFonts w:ascii="Garamond" w:hAnsi="Garamond"/>
        <w:b/>
        <w:sz w:val="18"/>
        <w:szCs w:val="18"/>
      </w:rPr>
      <w:t xml:space="preserve">Tel. zk. 943830286  -  Faxa 943834405  -  </w:t>
    </w:r>
    <w:proofErr w:type="spellStart"/>
    <w:r>
      <w:rPr>
        <w:rFonts w:ascii="Garamond" w:hAnsi="Garamond"/>
        <w:b/>
        <w:sz w:val="18"/>
        <w:szCs w:val="18"/>
      </w:rPr>
      <w:t>E-maila</w:t>
    </w:r>
    <w:proofErr w:type="spellEnd"/>
    <w:r>
      <w:rPr>
        <w:rFonts w:ascii="Garamond" w:hAnsi="Garamond"/>
        <w:b/>
        <w:sz w:val="18"/>
        <w:szCs w:val="18"/>
      </w:rPr>
      <w:t>: zuzen@antoniano.com   -  www.antoniano.com</w:t>
    </w:r>
  </w:p>
  <w:p w:rsidR="0016162E" w:rsidRDefault="0016162E">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93" w:rsidRDefault="00F93493">
      <w:r>
        <w:separator/>
      </w:r>
    </w:p>
  </w:footnote>
  <w:footnote w:type="continuationSeparator" w:id="0">
    <w:p w:rsidR="00F93493" w:rsidRDefault="00F9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2E" w:rsidRDefault="006C2A41">
    <w:pPr>
      <w:pStyle w:val="Encabezado"/>
      <w:ind w:left="1416"/>
      <w:rPr>
        <w:rFonts w:ascii="Garamond" w:hAnsi="Garamond"/>
        <w:b/>
        <w:i/>
      </w:rPr>
    </w:pPr>
    <w:r>
      <w:rPr>
        <w:noProof/>
        <w:lang w:val="es-ES" w:eastAsia="es-ES"/>
      </w:rPr>
      <w:drawing>
        <wp:anchor distT="0" distB="0" distL="114935" distR="114935" simplePos="0" relativeHeight="251657216" behindDoc="1" locked="0" layoutInCell="1" allowOverlap="1" wp14:anchorId="7EDC5C1B" wp14:editId="66C68605">
          <wp:simplePos x="0" y="0"/>
          <wp:positionH relativeFrom="column">
            <wp:posOffset>-243205</wp:posOffset>
          </wp:positionH>
          <wp:positionV relativeFrom="paragraph">
            <wp:posOffset>-40005</wp:posOffset>
          </wp:positionV>
          <wp:extent cx="2105025" cy="71653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03911" cy="716154"/>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71B87">
      <w:rPr>
        <w:rFonts w:ascii="Garamond" w:hAnsi="Garamond"/>
        <w:b/>
        <w:i/>
      </w:rPr>
      <w:t xml:space="preserve">                       </w:t>
    </w:r>
  </w:p>
  <w:p w:rsidR="0016162E" w:rsidRDefault="00A71B87" w:rsidP="00D53D31">
    <w:pPr>
      <w:jc w:val="center"/>
      <w:rPr>
        <w:rFonts w:ascii="Tahoma" w:hAnsi="Tahoma" w:cs="Tahoma"/>
        <w:b/>
        <w:i/>
        <w:sz w:val="16"/>
      </w:rPr>
    </w:pPr>
    <w:r>
      <w:rPr>
        <w:rFonts w:ascii="Garamond" w:hAnsi="Garamond"/>
        <w:b/>
        <w:i/>
      </w:rPr>
      <w:t xml:space="preserve">                        </w:t>
    </w:r>
    <w:r w:rsidR="00D53D31">
      <w:rPr>
        <w:b/>
        <w:sz w:val="36"/>
        <w:szCs w:val="36"/>
        <w:u w:val="single"/>
      </w:rPr>
      <w:t>ESKOLA KIROLA- ESKUBALOI ARAUDIA 2015-2016</w:t>
    </w:r>
    <w:r>
      <w:rPr>
        <w:rFonts w:ascii="Tahoma" w:hAnsi="Tahoma" w:cs="Tahoma"/>
        <w:b/>
        <w:i/>
        <w:sz w:val="16"/>
      </w:rPr>
      <w:t xml:space="preserve">                </w:t>
    </w:r>
  </w:p>
  <w:p w:rsidR="0016162E" w:rsidRDefault="00A71B87">
    <w:pPr>
      <w:pStyle w:val="Encabezado"/>
      <w:rPr>
        <w:rFonts w:ascii="Garamond" w:hAnsi="Garamond"/>
        <w:b/>
        <w:sz w:val="24"/>
      </w:rPr>
    </w:pPr>
    <w:r>
      <w:rPr>
        <w:rFonts w:ascii="Garamond" w:hAnsi="Garamond"/>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C2A41"/>
    <w:rsid w:val="0016162E"/>
    <w:rsid w:val="00437042"/>
    <w:rsid w:val="006C2A41"/>
    <w:rsid w:val="0070737C"/>
    <w:rsid w:val="009749CD"/>
    <w:rsid w:val="00A71B87"/>
    <w:rsid w:val="00D53D31"/>
    <w:rsid w:val="00E06817"/>
    <w:rsid w:val="00E37294"/>
    <w:rsid w:val="00E45E9F"/>
    <w:rsid w:val="00F93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2E"/>
    <w:pPr>
      <w:suppressAutoHyphens/>
    </w:pPr>
    <w:rPr>
      <w:lang w:val="eu-ES" w:eastAsia="ar-SA"/>
    </w:rPr>
  </w:style>
  <w:style w:type="paragraph" w:styleId="Ttulo1">
    <w:name w:val="heading 1"/>
    <w:basedOn w:val="Normal"/>
    <w:next w:val="Normal"/>
    <w:qFormat/>
    <w:rsid w:val="0016162E"/>
    <w:pPr>
      <w:keepNext/>
      <w:numPr>
        <w:numId w:val="1"/>
      </w:numPr>
      <w:jc w:val="right"/>
      <w:outlineLvl w:val="0"/>
    </w:pPr>
    <w:rPr>
      <w:rFonts w:ascii="Bookman Old Style" w:hAnsi="Bookman Old Style"/>
      <w:sz w:val="24"/>
    </w:rPr>
  </w:style>
  <w:style w:type="paragraph" w:styleId="Ttulo2">
    <w:name w:val="heading 2"/>
    <w:basedOn w:val="Normal"/>
    <w:next w:val="Normal"/>
    <w:qFormat/>
    <w:rsid w:val="0016162E"/>
    <w:pPr>
      <w:keepNext/>
      <w:numPr>
        <w:ilvl w:val="1"/>
        <w:numId w:val="1"/>
      </w:numPr>
      <w:outlineLvl w:val="1"/>
    </w:pPr>
    <w:rPr>
      <w:rFonts w:ascii="Bookman Old Style" w:hAnsi="Bookman Old Style"/>
      <w:b/>
      <w:sz w:val="24"/>
    </w:rPr>
  </w:style>
  <w:style w:type="paragraph" w:styleId="Ttulo3">
    <w:name w:val="heading 3"/>
    <w:basedOn w:val="Normal"/>
    <w:next w:val="Normal"/>
    <w:qFormat/>
    <w:rsid w:val="0016162E"/>
    <w:pPr>
      <w:keepNext/>
      <w:numPr>
        <w:ilvl w:val="2"/>
        <w:numId w:val="1"/>
      </w:numPr>
      <w:outlineLvl w:val="2"/>
    </w:pPr>
    <w:rPr>
      <w:rFonts w:ascii="Courier" w:hAnsi="Courie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16162E"/>
  </w:style>
  <w:style w:type="character" w:customStyle="1" w:styleId="WW-Absatz-Standardschriftart">
    <w:name w:val="WW-Absatz-Standardschriftart"/>
    <w:rsid w:val="0016162E"/>
  </w:style>
  <w:style w:type="character" w:customStyle="1" w:styleId="WW-Absatz-Standardschriftart1">
    <w:name w:val="WW-Absatz-Standardschriftart1"/>
    <w:rsid w:val="0016162E"/>
  </w:style>
  <w:style w:type="character" w:customStyle="1" w:styleId="WW8NumSt1z0">
    <w:name w:val="WW8NumSt1z0"/>
    <w:rsid w:val="0016162E"/>
    <w:rPr>
      <w:rFonts w:ascii="Symbol" w:hAnsi="Symbol"/>
    </w:rPr>
  </w:style>
  <w:style w:type="character" w:customStyle="1" w:styleId="Fuentedeprrafopredeter1">
    <w:name w:val="Fuente de párrafo predeter.1"/>
    <w:rsid w:val="0016162E"/>
  </w:style>
  <w:style w:type="character" w:customStyle="1" w:styleId="Hipervnculo1">
    <w:name w:val="Hipervínculo1"/>
    <w:basedOn w:val="Fuentedeprrafopredeter1"/>
    <w:rsid w:val="0016162E"/>
    <w:rPr>
      <w:color w:val="0000FF"/>
      <w:u w:val="single"/>
    </w:rPr>
  </w:style>
  <w:style w:type="character" w:customStyle="1" w:styleId="Hipervnculovisitado1">
    <w:name w:val="Hipervínculo visitado1"/>
    <w:basedOn w:val="Fuentedeprrafopredeter1"/>
    <w:rsid w:val="0016162E"/>
    <w:rPr>
      <w:color w:val="800080"/>
      <w:u w:val="single"/>
    </w:rPr>
  </w:style>
  <w:style w:type="character" w:styleId="Hipervnculo">
    <w:name w:val="Hyperlink"/>
    <w:rsid w:val="0016162E"/>
    <w:rPr>
      <w:color w:val="000080"/>
      <w:u w:val="single"/>
    </w:rPr>
  </w:style>
  <w:style w:type="paragraph" w:customStyle="1" w:styleId="Encabezado1">
    <w:name w:val="Encabezado1"/>
    <w:basedOn w:val="Normal"/>
    <w:next w:val="Textoindependiente"/>
    <w:rsid w:val="0016162E"/>
    <w:pPr>
      <w:keepNext/>
      <w:spacing w:before="240" w:after="120"/>
    </w:pPr>
    <w:rPr>
      <w:rFonts w:ascii="Arial" w:eastAsia="MS Mincho" w:hAnsi="Arial" w:cs="Tahoma"/>
      <w:sz w:val="28"/>
      <w:szCs w:val="28"/>
    </w:rPr>
  </w:style>
  <w:style w:type="paragraph" w:styleId="Textoindependiente">
    <w:name w:val="Body Text"/>
    <w:basedOn w:val="Normal"/>
    <w:rsid w:val="0016162E"/>
    <w:pPr>
      <w:jc w:val="both"/>
    </w:pPr>
    <w:rPr>
      <w:rFonts w:ascii="Bookman Old Style" w:hAnsi="Bookman Old Style"/>
      <w:sz w:val="24"/>
    </w:rPr>
  </w:style>
  <w:style w:type="paragraph" w:styleId="Lista">
    <w:name w:val="List"/>
    <w:basedOn w:val="Textoindependiente"/>
    <w:rsid w:val="0016162E"/>
    <w:rPr>
      <w:rFonts w:cs="Tahoma"/>
    </w:rPr>
  </w:style>
  <w:style w:type="paragraph" w:customStyle="1" w:styleId="Etiqueta">
    <w:name w:val="Etiqueta"/>
    <w:basedOn w:val="Normal"/>
    <w:rsid w:val="0016162E"/>
    <w:pPr>
      <w:suppressLineNumbers/>
      <w:spacing w:before="120" w:after="120"/>
    </w:pPr>
    <w:rPr>
      <w:rFonts w:cs="Tahoma"/>
      <w:i/>
      <w:iCs/>
      <w:sz w:val="24"/>
      <w:szCs w:val="24"/>
    </w:rPr>
  </w:style>
  <w:style w:type="paragraph" w:customStyle="1" w:styleId="ndice">
    <w:name w:val="Índice"/>
    <w:basedOn w:val="Normal"/>
    <w:rsid w:val="0016162E"/>
    <w:pPr>
      <w:suppressLineNumbers/>
    </w:pPr>
    <w:rPr>
      <w:rFonts w:cs="Tahoma"/>
    </w:rPr>
  </w:style>
  <w:style w:type="paragraph" w:styleId="Encabezado">
    <w:name w:val="header"/>
    <w:basedOn w:val="Normal"/>
    <w:rsid w:val="0016162E"/>
    <w:pPr>
      <w:tabs>
        <w:tab w:val="center" w:pos="4252"/>
        <w:tab w:val="right" w:pos="8504"/>
      </w:tabs>
    </w:pPr>
  </w:style>
  <w:style w:type="paragraph" w:styleId="Piedepgina">
    <w:name w:val="footer"/>
    <w:basedOn w:val="Normal"/>
    <w:rsid w:val="0016162E"/>
    <w:pPr>
      <w:tabs>
        <w:tab w:val="center" w:pos="4252"/>
        <w:tab w:val="right" w:pos="8504"/>
      </w:tabs>
    </w:pPr>
  </w:style>
  <w:style w:type="paragraph" w:customStyle="1" w:styleId="Contenidodelmarco">
    <w:name w:val="Contenido del marco"/>
    <w:basedOn w:val="Textoindependiente"/>
    <w:rsid w:val="00161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menbreteBerria_gif</vt:lpstr>
    </vt:vector>
  </TitlesOfParts>
  <Company>Kirol Elkartea</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menbreteBerria_gif</dc:title>
  <dc:subject>logoa</dc:subject>
  <dc:creator>Ane </dc:creator>
  <cp:keywords/>
  <cp:lastModifiedBy>ane kano kortajarena</cp:lastModifiedBy>
  <cp:revision>2</cp:revision>
  <cp:lastPrinted>2011-11-17T15:48:00Z</cp:lastPrinted>
  <dcterms:created xsi:type="dcterms:W3CDTF">2015-11-05T15:23:00Z</dcterms:created>
  <dcterms:modified xsi:type="dcterms:W3CDTF">2015-11-05T15:23:00Z</dcterms:modified>
</cp:coreProperties>
</file>